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6" w:rsidRDefault="001177E5">
      <w:pPr>
        <w:ind w:leftChars="-88" w:left="-183" w:rightChars="-150" w:right="-315" w:hanging="2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附件4：</w:t>
      </w:r>
    </w:p>
    <w:p w:rsidR="00A64036" w:rsidRDefault="00A64036">
      <w:pPr>
        <w:ind w:leftChars="-88" w:left="-183" w:rightChars="-150" w:right="-315" w:hanging="2"/>
        <w:jc w:val="left"/>
        <w:rPr>
          <w:rFonts w:ascii="仿宋" w:eastAsia="仿宋" w:hAnsi="仿宋"/>
          <w:szCs w:val="32"/>
        </w:rPr>
      </w:pPr>
    </w:p>
    <w:p w:rsidR="00A64036" w:rsidRDefault="005857B7">
      <w:pPr>
        <w:ind w:leftChars="-88" w:left="-183" w:rightChars="-150" w:right="-315" w:hanging="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2017</w:t>
      </w:r>
      <w:r w:rsidR="001177E5">
        <w:rPr>
          <w:rFonts w:ascii="黑体" w:eastAsia="黑体" w:hAnsi="黑体" w:hint="eastAsia"/>
          <w:b/>
          <w:bCs/>
          <w:sz w:val="44"/>
          <w:szCs w:val="44"/>
        </w:rPr>
        <w:t>年</w:t>
      </w:r>
      <w:r w:rsidR="001177E5" w:rsidRPr="005857B7">
        <w:rPr>
          <w:rFonts w:ascii="黑体" w:eastAsia="黑体" w:hAnsi="黑体" w:hint="eastAsia"/>
          <w:b/>
          <w:bCs/>
          <w:sz w:val="44"/>
          <w:szCs w:val="44"/>
        </w:rPr>
        <w:t>潮南区</w:t>
      </w:r>
      <w:r w:rsidR="000A3AA4" w:rsidRPr="005857B7">
        <w:rPr>
          <w:rFonts w:ascii="黑体" w:eastAsia="黑体" w:hAnsi="黑体" w:hint="eastAsia"/>
          <w:b/>
          <w:bCs/>
          <w:sz w:val="44"/>
          <w:szCs w:val="44"/>
        </w:rPr>
        <w:t>两英</w:t>
      </w:r>
      <w:r w:rsidR="001177E5" w:rsidRPr="005857B7">
        <w:rPr>
          <w:rFonts w:ascii="黑体" w:eastAsia="黑体" w:hAnsi="黑体" w:hint="eastAsia"/>
          <w:b/>
          <w:bCs/>
          <w:sz w:val="44"/>
          <w:szCs w:val="44"/>
        </w:rPr>
        <w:t>中学</w:t>
      </w:r>
      <w:r w:rsidR="001177E5">
        <w:rPr>
          <w:rFonts w:ascii="黑体" w:eastAsia="黑体" w:hAnsi="黑体" w:hint="eastAsia"/>
          <w:b/>
          <w:bCs/>
          <w:sz w:val="44"/>
          <w:szCs w:val="44"/>
        </w:rPr>
        <w:t>部门决算情况说明</w:t>
      </w:r>
    </w:p>
    <w:p w:rsidR="00A64036" w:rsidRDefault="00A64036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</w:p>
    <w:p w:rsidR="00A64036" w:rsidRDefault="001177E5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一、部门基本情况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（一）部门机构设置、职能</w:t>
      </w:r>
    </w:p>
    <w:p w:rsidR="00A64036" w:rsidRDefault="001177E5">
      <w:pPr>
        <w:shd w:val="clear" w:color="auto" w:fill="FFFFFF"/>
        <w:ind w:leftChars="-67" w:left="-141" w:rightChars="-159" w:right="-334" w:firstLine="640"/>
        <w:rPr>
          <w:rFonts w:ascii="仿宋_GB2312" w:eastAsia="仿宋_GB2312" w:hAnsi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潮南区</w:t>
      </w:r>
      <w:r w:rsidR="000A3AA4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两英</w:t>
      </w: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中学属区直管学校，列入部门决算的单位。</w:t>
      </w:r>
    </w:p>
    <w:p w:rsidR="00A64036" w:rsidRDefault="001177E5">
      <w:pPr>
        <w:shd w:val="clear" w:color="auto" w:fill="FFFFFF"/>
        <w:ind w:leftChars="-67" w:left="-141" w:rightChars="-159" w:right="-334" w:firstLine="640"/>
        <w:rPr>
          <w:rFonts w:ascii="仿宋_GB2312" w:eastAsia="仿宋_GB2312" w:hAnsi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潮南区</w:t>
      </w:r>
      <w:r w:rsidR="000A3AA4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两英</w:t>
      </w: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中学的主要职责是：贯彻执行国家《教育法》、《教师法》、《会计法》及有关财经法规的方针、政策，研究我区教育、财政监督的地方性法规，制订本单位财务规章制度，向区有关部门汇报财务经济情况，接受上级部门审计监督和指导。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（二）人员构成情况</w:t>
      </w:r>
    </w:p>
    <w:p w:rsidR="00A64036" w:rsidRDefault="001177E5">
      <w:pPr>
        <w:shd w:val="clear" w:color="auto" w:fill="FFFFFF"/>
        <w:ind w:leftChars="-67" w:left="-141" w:rightChars="-159" w:right="-334" w:firstLine="640"/>
        <w:rPr>
          <w:rFonts w:ascii="仿宋_GB2312" w:eastAsia="仿宋_GB2312" w:hAnsi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潮南区</w:t>
      </w:r>
      <w:r w:rsidR="000A3AA4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两英</w:t>
      </w: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中学共有财拨事业在职人数</w:t>
      </w:r>
      <w:r w:rsidR="00444A67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247</w:t>
      </w: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人；退休人员</w:t>
      </w:r>
      <w:r w:rsidR="000A3AA4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3</w:t>
      </w:r>
      <w:r w:rsidR="00444A67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0</w:t>
      </w:r>
      <w:r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人。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（三）决算年度的主要工作任务</w:t>
      </w:r>
    </w:p>
    <w:p w:rsidR="00A64036" w:rsidRDefault="005857B7">
      <w:pPr>
        <w:shd w:val="clear" w:color="auto" w:fill="FFFFFF"/>
        <w:ind w:leftChars="-67" w:left="-141" w:rightChars="-159" w:right="-334" w:firstLine="640"/>
        <w:rPr>
          <w:rFonts w:ascii="仿宋_GB2312" w:eastAsia="仿宋_GB2312" w:hAnsi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2017</w:t>
      </w:r>
      <w:r w:rsidR="001177E5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年年度决算学校</w:t>
      </w:r>
      <w:r w:rsidR="001177E5">
        <w:rPr>
          <w:rFonts w:ascii="仿宋_GB2312" w:eastAsia="仿宋_GB2312" w:hAnsi="仿宋_GB2312"/>
          <w:color w:val="000000"/>
          <w:kern w:val="0"/>
          <w:sz w:val="30"/>
          <w:szCs w:val="30"/>
        </w:rPr>
        <w:t>切实加强组织管理，不断提高决算管理水平</w:t>
      </w:r>
      <w:r w:rsidR="001177E5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，</w:t>
      </w:r>
      <w:r w:rsidR="001177E5">
        <w:rPr>
          <w:rFonts w:ascii="仿宋_GB2312" w:eastAsia="仿宋_GB2312" w:hAnsi="仿宋_GB2312"/>
          <w:color w:val="000000"/>
          <w:kern w:val="0"/>
          <w:sz w:val="30"/>
          <w:szCs w:val="30"/>
        </w:rPr>
        <w:t>按时保质完成工作任务</w:t>
      </w:r>
      <w:r w:rsidR="001177E5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，</w:t>
      </w:r>
      <w:r w:rsidR="001177E5">
        <w:rPr>
          <w:rFonts w:ascii="仿宋_GB2312" w:eastAsia="仿宋_GB2312" w:hAnsi="仿宋_GB2312"/>
          <w:color w:val="000000"/>
          <w:kern w:val="0"/>
          <w:sz w:val="30"/>
          <w:szCs w:val="30"/>
        </w:rPr>
        <w:t>明确职责分工，形成协同高效的工作机制。</w:t>
      </w:r>
      <w:r w:rsidR="001177E5">
        <w:rPr>
          <w:rFonts w:ascii="仿宋_GB2312" w:eastAsia="仿宋_GB2312" w:hAnsi="仿宋_GB2312" w:cs="宋体"/>
          <w:color w:val="000000"/>
          <w:kern w:val="0"/>
          <w:sz w:val="30"/>
          <w:szCs w:val="30"/>
        </w:rPr>
        <w:t>严格执行</w:t>
      </w:r>
      <w:r w:rsidR="001177E5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相关</w:t>
      </w:r>
      <w:r w:rsidR="001177E5">
        <w:rPr>
          <w:rFonts w:ascii="仿宋_GB2312" w:eastAsia="仿宋_GB2312" w:hAnsi="仿宋_GB2312" w:cs="宋体"/>
          <w:color w:val="000000"/>
          <w:kern w:val="0"/>
          <w:sz w:val="30"/>
          <w:szCs w:val="30"/>
        </w:rPr>
        <w:t>会计核算制度和财务决算管理的有关要求，认真做好资产清查工作</w:t>
      </w:r>
      <w:r w:rsidR="001177E5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，</w:t>
      </w:r>
      <w:r w:rsidR="001177E5">
        <w:rPr>
          <w:rFonts w:ascii="仿宋_GB2312" w:eastAsia="仿宋_GB2312" w:hAnsi="仿宋_GB2312"/>
          <w:color w:val="000000"/>
          <w:kern w:val="0"/>
          <w:sz w:val="30"/>
          <w:szCs w:val="30"/>
        </w:rPr>
        <w:t>做好往来款项清理</w:t>
      </w:r>
      <w:r w:rsidR="001177E5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。为下年度财务工作打下良好基础。</w:t>
      </w:r>
    </w:p>
    <w:p w:rsidR="00A64036" w:rsidRDefault="001177E5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二、预算执行情况分析</w:t>
      </w:r>
    </w:p>
    <w:p w:rsidR="00A64036" w:rsidRDefault="001177E5">
      <w:pPr>
        <w:ind w:leftChars="-67" w:left="-141" w:rightChars="-159" w:right="-334"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（一）收入决算说明</w:t>
      </w:r>
    </w:p>
    <w:p w:rsidR="00A64036" w:rsidRDefault="005857B7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 w:rsidR="001177E5">
        <w:rPr>
          <w:rFonts w:ascii="仿宋" w:eastAsia="仿宋" w:hAnsi="仿宋" w:hint="eastAsia"/>
          <w:sz w:val="32"/>
          <w:szCs w:val="32"/>
        </w:rPr>
        <w:t>年收入决算</w:t>
      </w:r>
      <w:r>
        <w:rPr>
          <w:rFonts w:ascii="仿宋" w:eastAsia="仿宋" w:hAnsi="仿宋" w:hint="eastAsia"/>
          <w:sz w:val="32"/>
          <w:szCs w:val="32"/>
          <w:u w:val="single"/>
        </w:rPr>
        <w:t>3338.49</w:t>
      </w:r>
      <w:r w:rsidR="001177E5"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2016</w:t>
      </w:r>
      <w:r w:rsidR="001177E5">
        <w:rPr>
          <w:rFonts w:ascii="仿宋" w:eastAsia="仿宋" w:hAnsi="仿宋" w:hint="eastAsia"/>
          <w:sz w:val="32"/>
          <w:szCs w:val="32"/>
        </w:rPr>
        <w:t>年决算数</w:t>
      </w:r>
      <w:r w:rsidRPr="005857B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  <w:u w:val="single"/>
        </w:rPr>
        <w:t>675</w:t>
      </w:r>
      <w:r w:rsidR="001177E5">
        <w:rPr>
          <w:rFonts w:ascii="仿宋" w:eastAsia="仿宋" w:hAnsi="仿宋" w:hint="eastAsia"/>
          <w:sz w:val="32"/>
          <w:szCs w:val="32"/>
        </w:rPr>
        <w:lastRenderedPageBreak/>
        <w:t>万元，原因是增加学生生活补和助学金，</w:t>
      </w:r>
      <w:r>
        <w:rPr>
          <w:rFonts w:ascii="仿宋" w:eastAsia="仿宋" w:hAnsi="仿宋" w:hint="eastAsia"/>
          <w:sz w:val="32"/>
          <w:szCs w:val="32"/>
        </w:rPr>
        <w:t>减少</w:t>
      </w:r>
      <w:r w:rsidR="001177E5">
        <w:rPr>
          <w:rFonts w:ascii="仿宋" w:eastAsia="仿宋" w:hAnsi="仿宋" w:hint="eastAsia"/>
          <w:sz w:val="32"/>
          <w:szCs w:val="32"/>
        </w:rPr>
        <w:t>办公设备和配套设施</w:t>
      </w:r>
      <w:r>
        <w:rPr>
          <w:rFonts w:ascii="仿宋" w:eastAsia="仿宋" w:hAnsi="仿宋" w:hint="eastAsia"/>
          <w:sz w:val="32"/>
          <w:szCs w:val="32"/>
        </w:rPr>
        <w:t>采购</w:t>
      </w:r>
      <w:r w:rsidR="001177E5">
        <w:rPr>
          <w:rFonts w:ascii="仿宋" w:eastAsia="仿宋" w:hAnsi="仿宋" w:hint="eastAsia"/>
          <w:sz w:val="32"/>
          <w:szCs w:val="32"/>
        </w:rPr>
        <w:t>。其中：财政拨款收入</w:t>
      </w:r>
      <w:r>
        <w:rPr>
          <w:rFonts w:ascii="仿宋" w:eastAsia="仿宋" w:hAnsi="仿宋" w:hint="eastAsia"/>
          <w:sz w:val="32"/>
          <w:szCs w:val="32"/>
          <w:u w:val="single"/>
        </w:rPr>
        <w:t>3330.51</w:t>
      </w:r>
      <w:r w:rsidR="001177E5">
        <w:rPr>
          <w:rFonts w:ascii="仿宋" w:eastAsia="仿宋" w:hAnsi="仿宋" w:hint="eastAsia"/>
          <w:sz w:val="32"/>
          <w:szCs w:val="32"/>
        </w:rPr>
        <w:t>万元，比201</w:t>
      </w:r>
      <w:r>
        <w:rPr>
          <w:rFonts w:ascii="仿宋" w:eastAsia="仿宋" w:hAnsi="仿宋" w:hint="eastAsia"/>
          <w:sz w:val="32"/>
          <w:szCs w:val="32"/>
        </w:rPr>
        <w:t>7</w:t>
      </w:r>
      <w:r w:rsidR="001177E5"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  <w:u w:val="single"/>
        </w:rPr>
        <w:t>966.39</w:t>
      </w:r>
      <w:r w:rsidR="00CE52C2">
        <w:rPr>
          <w:rFonts w:ascii="仿宋" w:eastAsia="仿宋" w:hAnsi="仿宋" w:hint="eastAsia"/>
          <w:sz w:val="32"/>
          <w:szCs w:val="32"/>
        </w:rPr>
        <w:t>万元，原因是增加人员工资福利支出。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（二）支出决算说明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年支出决算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3359.88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年决算数</w:t>
      </w:r>
      <w:r w:rsidR="00CE52C2">
        <w:rPr>
          <w:rFonts w:ascii="仿宋" w:eastAsia="仿宋" w:hAnsi="仿宋" w:hint="eastAsia"/>
          <w:sz w:val="32"/>
          <w:szCs w:val="32"/>
        </w:rPr>
        <w:t>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646.64</w:t>
      </w:r>
      <w:r>
        <w:rPr>
          <w:rFonts w:ascii="仿宋" w:eastAsia="仿宋" w:hAnsi="仿宋" w:hint="eastAsia"/>
          <w:sz w:val="32"/>
          <w:szCs w:val="32"/>
        </w:rPr>
        <w:t>万元，原因是增加学生生活补和助学金，</w:t>
      </w:r>
      <w:r w:rsidR="00CE52C2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办公设备和配套设施</w:t>
      </w:r>
      <w:r w:rsidR="00CE52C2"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 w:hint="eastAsia"/>
          <w:sz w:val="32"/>
          <w:szCs w:val="32"/>
        </w:rPr>
        <w:t>。其中：财政拨款支出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3256.94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892.82</w:t>
      </w:r>
      <w:r>
        <w:rPr>
          <w:rFonts w:ascii="仿宋" w:eastAsia="仿宋" w:hAnsi="仿宋" w:hint="eastAsia"/>
          <w:sz w:val="32"/>
          <w:szCs w:val="32"/>
        </w:rPr>
        <w:t>万元，原因是增加</w:t>
      </w:r>
      <w:r w:rsidR="00CE52C2">
        <w:rPr>
          <w:rFonts w:ascii="仿宋" w:eastAsia="仿宋" w:hAnsi="仿宋" w:hint="eastAsia"/>
          <w:sz w:val="32"/>
          <w:szCs w:val="32"/>
        </w:rPr>
        <w:t>人员工资福利支出。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年财政拨款支出按用途划分，基本支出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2999.95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92.11</w:t>
      </w:r>
      <w:r>
        <w:rPr>
          <w:rFonts w:ascii="仿宋" w:eastAsia="仿宋" w:hAnsi="仿宋" w:hint="eastAsia"/>
          <w:sz w:val="32"/>
          <w:szCs w:val="32"/>
        </w:rPr>
        <w:t>%，其中：工资福利支出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1949.8</w:t>
      </w:r>
      <w:r>
        <w:rPr>
          <w:rFonts w:ascii="仿宋" w:eastAsia="仿宋" w:hAnsi="仿宋" w:hint="eastAsia"/>
          <w:sz w:val="32"/>
          <w:szCs w:val="32"/>
        </w:rPr>
        <w:t>万元，对个人和家庭的补助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445.78</w:t>
      </w:r>
      <w:r>
        <w:rPr>
          <w:rFonts w:ascii="仿宋" w:eastAsia="仿宋" w:hAnsi="仿宋" w:hint="eastAsia"/>
          <w:sz w:val="32"/>
          <w:szCs w:val="32"/>
        </w:rPr>
        <w:t>万元，商品和服务支出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562.92</w:t>
      </w:r>
      <w:r>
        <w:rPr>
          <w:rFonts w:ascii="仿宋" w:eastAsia="仿宋" w:hAnsi="仿宋" w:hint="eastAsia"/>
          <w:sz w:val="32"/>
          <w:szCs w:val="32"/>
        </w:rPr>
        <w:t>万元，其他资本性支出等支出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41.44</w:t>
      </w:r>
      <w:r>
        <w:rPr>
          <w:rFonts w:ascii="仿宋" w:eastAsia="仿宋" w:hAnsi="仿宋" w:hint="eastAsia"/>
          <w:sz w:val="32"/>
          <w:szCs w:val="32"/>
        </w:rPr>
        <w:t>万元；项目支出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256.99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7.89</w:t>
      </w:r>
      <w:r>
        <w:rPr>
          <w:rFonts w:ascii="仿宋" w:eastAsia="仿宋" w:hAnsi="仿宋" w:hint="eastAsia"/>
          <w:sz w:val="32"/>
          <w:szCs w:val="32"/>
        </w:rPr>
        <w:t>%，主要支出项目有学生生活补和助学金，办公设备和配套设施。</w:t>
      </w:r>
    </w:p>
    <w:p w:rsidR="00A64036" w:rsidRDefault="001177E5">
      <w:pPr>
        <w:ind w:leftChars="-67" w:left="-141"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（三）“三公”经费支出说明</w:t>
      </w:r>
    </w:p>
    <w:p w:rsidR="00A64036" w:rsidRDefault="001177E5" w:rsidP="00BA7882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年“三公”经费财政拨款支出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0.92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年决算数</w:t>
      </w:r>
      <w:r w:rsidR="00CE52C2">
        <w:rPr>
          <w:rFonts w:ascii="仿宋" w:eastAsia="仿宋" w:hAnsi="仿宋" w:hint="eastAsia"/>
          <w:sz w:val="32"/>
          <w:szCs w:val="32"/>
        </w:rPr>
        <w:t>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2.32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</w:t>
      </w:r>
      <w:r w:rsidR="00BA7882">
        <w:rPr>
          <w:rFonts w:ascii="仿宋" w:eastAsia="仿宋" w:hAnsi="仿宋" w:hint="eastAsia"/>
          <w:sz w:val="32"/>
          <w:szCs w:val="32"/>
        </w:rPr>
        <w:t>减少</w:t>
      </w:r>
      <w:bookmarkStart w:id="0" w:name="_GoBack"/>
      <w:bookmarkEnd w:id="0"/>
      <w:r w:rsidR="00CE52C2">
        <w:rPr>
          <w:rFonts w:ascii="仿宋" w:eastAsia="仿宋" w:hAnsi="仿宋" w:hint="eastAsia"/>
          <w:sz w:val="32"/>
          <w:szCs w:val="32"/>
          <w:u w:val="single"/>
        </w:rPr>
        <w:t>2.68</w:t>
      </w:r>
      <w:r>
        <w:rPr>
          <w:rFonts w:ascii="仿宋" w:eastAsia="仿宋" w:hAnsi="仿宋" w:hint="eastAsia"/>
          <w:sz w:val="32"/>
          <w:szCs w:val="32"/>
        </w:rPr>
        <w:t>万元，原因是车辆旧损耗大</w:t>
      </w:r>
      <w:r w:rsidR="00CE52C2">
        <w:rPr>
          <w:rFonts w:ascii="仿宋" w:eastAsia="仿宋" w:hAnsi="仿宋" w:hint="eastAsia"/>
          <w:sz w:val="32"/>
          <w:szCs w:val="32"/>
        </w:rPr>
        <w:t>，使用少</w:t>
      </w:r>
      <w:r>
        <w:rPr>
          <w:rFonts w:ascii="仿宋" w:eastAsia="仿宋" w:hAnsi="仿宋" w:hint="eastAsia"/>
          <w:sz w:val="32"/>
          <w:szCs w:val="32"/>
        </w:rPr>
        <w:t>。具体情况如下：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1.全年使用财政拨款安排本级、所属单位出国团组数为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个、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人次，因公出国（境）费支出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年决算数增加/减少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年预算数增加/减少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 w:rsidR="00C12499">
        <w:rPr>
          <w:rFonts w:ascii="仿宋" w:eastAsia="仿宋" w:hAnsi="仿宋" w:hint="eastAsia"/>
          <w:sz w:val="32"/>
          <w:szCs w:val="32"/>
        </w:rPr>
        <w:t>单位无此项业务</w:t>
      </w:r>
      <w:r>
        <w:rPr>
          <w:rFonts w:ascii="仿宋" w:eastAsia="仿宋" w:hAnsi="仿宋" w:hint="eastAsia"/>
          <w:sz w:val="32"/>
          <w:szCs w:val="32"/>
        </w:rPr>
        <w:t>。开支内容包括：（1）参加会议支出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万元，主要用于……；（2）出国谈判、工作磋商支出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万元，主要用</w:t>
      </w:r>
      <w:r>
        <w:rPr>
          <w:rFonts w:ascii="仿宋" w:eastAsia="仿宋" w:hAnsi="仿宋" w:hint="eastAsia"/>
          <w:sz w:val="32"/>
          <w:szCs w:val="32"/>
        </w:rPr>
        <w:lastRenderedPageBreak/>
        <w:t>于……；（3）境外业务培训及考察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万元，主要用于……。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2.公务用车购置及运行维护费支出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0.92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年决算数</w:t>
      </w:r>
      <w:r w:rsidR="00CE52C2">
        <w:rPr>
          <w:rFonts w:ascii="仿宋" w:eastAsia="仿宋" w:hAnsi="仿宋" w:hint="eastAsia"/>
          <w:sz w:val="32"/>
          <w:szCs w:val="32"/>
        </w:rPr>
        <w:t>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2.3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</w:t>
      </w:r>
      <w:r w:rsidR="00BA7882">
        <w:rPr>
          <w:rFonts w:ascii="仿宋" w:eastAsia="仿宋" w:hAnsi="仿宋" w:hint="eastAsia"/>
          <w:sz w:val="32"/>
          <w:szCs w:val="32"/>
        </w:rPr>
        <w:t>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2.68</w:t>
      </w:r>
      <w:r w:rsidR="00BA7882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元，原因是车辆旧损耗大</w:t>
      </w:r>
      <w:r w:rsidR="00CE52C2">
        <w:rPr>
          <w:rFonts w:ascii="仿宋" w:eastAsia="仿宋" w:hAnsi="仿宋" w:hint="eastAsia"/>
          <w:sz w:val="32"/>
          <w:szCs w:val="32"/>
        </w:rPr>
        <w:t>，使用少</w:t>
      </w:r>
      <w:r>
        <w:rPr>
          <w:rFonts w:ascii="仿宋" w:eastAsia="仿宋" w:hAnsi="仿宋" w:hint="eastAsia"/>
          <w:sz w:val="32"/>
          <w:szCs w:val="32"/>
        </w:rPr>
        <w:t>。主要包括：（1）报废辆、更新购置辆，购置费支出万元，平均每辆万元；（2）公务车保有量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>
        <w:rPr>
          <w:rFonts w:ascii="仿宋" w:eastAsia="仿宋" w:hAnsi="仿宋" w:hint="eastAsia"/>
          <w:sz w:val="32"/>
          <w:szCs w:val="32"/>
        </w:rPr>
        <w:t>辆，全年运行维护费支出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0.92</w:t>
      </w:r>
      <w:r>
        <w:rPr>
          <w:rFonts w:ascii="仿宋" w:eastAsia="仿宋" w:hAnsi="仿宋" w:hint="eastAsia"/>
          <w:sz w:val="32"/>
          <w:szCs w:val="32"/>
        </w:rPr>
        <w:t>万元，平均每辆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0.92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3.公务接待批次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批，人数</w:t>
      </w:r>
      <w:r w:rsidR="00CE52C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人，公务接待费支出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年决算数减少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0.02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 w:rsidR="00CE52C2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万元，原因是按政策节省开支。</w:t>
      </w:r>
    </w:p>
    <w:p w:rsidR="00A64036" w:rsidRDefault="001177E5">
      <w:pPr>
        <w:ind w:leftChars="-67" w:left="-141" w:rightChars="-159" w:right="-334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（四）机关运行经费支出说明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机关运行经费支出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万元，比201</w:t>
      </w:r>
      <w:r w:rsidR="00CE52C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年减少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万元，降低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%，原因是商品和服务支出减少。</w:t>
      </w:r>
    </w:p>
    <w:p w:rsidR="00A64036" w:rsidRDefault="001177E5">
      <w:pPr>
        <w:ind w:leftChars="-67" w:left="-141" w:rightChars="-159" w:right="-334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（五）政府采购支出说明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政府采购支出总额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万元、政府采购工程支出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万元、政府采购服务支出万元。授予中小企业合同金额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万元，占政府采购支出总额的</w:t>
      </w:r>
      <w:r w:rsidR="00BE4DDF"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%，其中：授予小微企业合同金额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万元，占政府采购支出总额的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A64036" w:rsidRDefault="001177E5">
      <w:pPr>
        <w:ind w:leftChars="-67" w:left="-141" w:rightChars="-159" w:right="-334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（六）国有资产占用情况说明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</w:t>
      </w:r>
      <w:r w:rsidR="00CE52C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年12月31日，本部门（单位）共有车辆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>
        <w:rPr>
          <w:rFonts w:ascii="仿宋" w:eastAsia="仿宋" w:hAnsi="仿宋" w:hint="eastAsia"/>
          <w:sz w:val="32"/>
          <w:szCs w:val="32"/>
        </w:rPr>
        <w:t>辆，其中，一般公务用车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>
        <w:rPr>
          <w:rFonts w:ascii="仿宋" w:eastAsia="仿宋" w:hAnsi="仿宋" w:hint="eastAsia"/>
          <w:sz w:val="32"/>
          <w:szCs w:val="32"/>
        </w:rPr>
        <w:t>辆、一般执法执勤用车辆、特种专业技术用车辆、其他用车辆，其他用车主要是……；单位价值200万元以上大型设备</w:t>
      </w:r>
      <w:r w:rsidR="00C1249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台（套）。</w:t>
      </w:r>
    </w:p>
    <w:p w:rsidR="00A64036" w:rsidRDefault="001177E5">
      <w:pPr>
        <w:ind w:leftChars="-67" w:left="-141" w:rightChars="-159" w:right="-334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（七）预算绩效管理工作开展情况说明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主要民生项目包括：增加学生生活补和助学金，绩效评价结果：困难家庭得到补助，效果好；</w:t>
      </w:r>
    </w:p>
    <w:p w:rsidR="00A64036" w:rsidRDefault="001177E5">
      <w:pPr>
        <w:ind w:leftChars="-67" w:left="-141" w:rightChars="-159" w:right="-334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重点支出项目包括：学校运动场和食堂建设，绩效评价结果：改善师生生活环境和学生活动锻炼场地，效果好。</w:t>
      </w:r>
    </w:p>
    <w:p w:rsidR="00A64036" w:rsidRDefault="001177E5">
      <w:pPr>
        <w:spacing w:line="580" w:lineRule="exact"/>
        <w:ind w:leftChars="-88" w:left="-185" w:rightChars="-150" w:right="-315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二、专业名词解释</w:t>
      </w:r>
    </w:p>
    <w:p w:rsidR="00A64036" w:rsidRDefault="001177E5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A64036" w:rsidRDefault="001177E5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A64036" w:rsidRDefault="001177E5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A64036" w:rsidRPr="006A4726" w:rsidRDefault="001177E5" w:rsidP="006A4726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机关运行经费支出：是指为保障机关运行，用于购买货物和服务的各项资金，包括</w:t>
      </w:r>
      <w:r w:rsidR="001B6E1B" w:rsidRPr="00F313A4">
        <w:rPr>
          <w:rFonts w:ascii="仿宋" w:eastAsia="仿宋" w:hAnsi="仿宋" w:hint="eastAsia"/>
          <w:sz w:val="32"/>
          <w:szCs w:val="32"/>
        </w:rPr>
        <w:t>办公费、印刷费、水电费、邮电费、维修（护）、物业管理费、旅差费、培训费、租</w:t>
      </w:r>
      <w:r w:rsidR="001B6E1B">
        <w:rPr>
          <w:rFonts w:ascii="仿宋" w:eastAsia="仿宋" w:hAnsi="仿宋" w:hint="eastAsia"/>
          <w:sz w:val="32"/>
          <w:szCs w:val="32"/>
        </w:rPr>
        <w:t>赁</w:t>
      </w:r>
      <w:r w:rsidR="001B6E1B" w:rsidRPr="00F313A4">
        <w:rPr>
          <w:rFonts w:ascii="仿宋" w:eastAsia="仿宋" w:hAnsi="仿宋" w:hint="eastAsia"/>
          <w:sz w:val="32"/>
          <w:szCs w:val="32"/>
        </w:rPr>
        <w:t>费、劳务费等。</w:t>
      </w:r>
    </w:p>
    <w:sectPr w:rsidR="00A64036" w:rsidRPr="006A4726" w:rsidSect="00A6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58" w:rsidRDefault="004D7F58" w:rsidP="000A3AA4">
      <w:r>
        <w:separator/>
      </w:r>
    </w:p>
  </w:endnote>
  <w:endnote w:type="continuationSeparator" w:id="1">
    <w:p w:rsidR="004D7F58" w:rsidRDefault="004D7F58" w:rsidP="000A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58" w:rsidRDefault="004D7F58" w:rsidP="000A3AA4">
      <w:r>
        <w:separator/>
      </w:r>
    </w:p>
  </w:footnote>
  <w:footnote w:type="continuationSeparator" w:id="1">
    <w:p w:rsidR="004D7F58" w:rsidRDefault="004D7F58" w:rsidP="000A3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8AE"/>
    <w:rsid w:val="00002554"/>
    <w:rsid w:val="00043F4D"/>
    <w:rsid w:val="00062240"/>
    <w:rsid w:val="00085847"/>
    <w:rsid w:val="000A3AA4"/>
    <w:rsid w:val="000B476E"/>
    <w:rsid w:val="000C4FE3"/>
    <w:rsid w:val="000F4B70"/>
    <w:rsid w:val="001046B8"/>
    <w:rsid w:val="001177E5"/>
    <w:rsid w:val="001525F7"/>
    <w:rsid w:val="0015372B"/>
    <w:rsid w:val="001577A8"/>
    <w:rsid w:val="00173C48"/>
    <w:rsid w:val="0018091D"/>
    <w:rsid w:val="001A7928"/>
    <w:rsid w:val="001B615A"/>
    <w:rsid w:val="001B6E1B"/>
    <w:rsid w:val="001C40A2"/>
    <w:rsid w:val="001D33CF"/>
    <w:rsid w:val="001E3B29"/>
    <w:rsid w:val="001E6B84"/>
    <w:rsid w:val="0023075F"/>
    <w:rsid w:val="00237D77"/>
    <w:rsid w:val="00256EC5"/>
    <w:rsid w:val="00273534"/>
    <w:rsid w:val="00281EAE"/>
    <w:rsid w:val="00285AFB"/>
    <w:rsid w:val="002A1AA2"/>
    <w:rsid w:val="002A4BE1"/>
    <w:rsid w:val="002B60C4"/>
    <w:rsid w:val="002C3E3E"/>
    <w:rsid w:val="0030236E"/>
    <w:rsid w:val="0030411C"/>
    <w:rsid w:val="0031124D"/>
    <w:rsid w:val="003472B4"/>
    <w:rsid w:val="0036763D"/>
    <w:rsid w:val="0038053D"/>
    <w:rsid w:val="003A1E3C"/>
    <w:rsid w:val="003C207F"/>
    <w:rsid w:val="003D0458"/>
    <w:rsid w:val="003D4970"/>
    <w:rsid w:val="003E15DA"/>
    <w:rsid w:val="003F1B48"/>
    <w:rsid w:val="004120A6"/>
    <w:rsid w:val="0042266C"/>
    <w:rsid w:val="00430788"/>
    <w:rsid w:val="00444A67"/>
    <w:rsid w:val="00446EF8"/>
    <w:rsid w:val="004513F9"/>
    <w:rsid w:val="0045210E"/>
    <w:rsid w:val="00464FAF"/>
    <w:rsid w:val="004707B1"/>
    <w:rsid w:val="00472EA3"/>
    <w:rsid w:val="004C3337"/>
    <w:rsid w:val="004D7F58"/>
    <w:rsid w:val="004E2A86"/>
    <w:rsid w:val="004E44C2"/>
    <w:rsid w:val="004E4D49"/>
    <w:rsid w:val="004F58AE"/>
    <w:rsid w:val="00515311"/>
    <w:rsid w:val="0052024D"/>
    <w:rsid w:val="005272E9"/>
    <w:rsid w:val="00544606"/>
    <w:rsid w:val="005519AE"/>
    <w:rsid w:val="00552810"/>
    <w:rsid w:val="005857B7"/>
    <w:rsid w:val="00597DA0"/>
    <w:rsid w:val="005A000F"/>
    <w:rsid w:val="005D7E7A"/>
    <w:rsid w:val="005F231C"/>
    <w:rsid w:val="00603A8C"/>
    <w:rsid w:val="0064098C"/>
    <w:rsid w:val="00652A4C"/>
    <w:rsid w:val="006532CF"/>
    <w:rsid w:val="0067233C"/>
    <w:rsid w:val="006914A2"/>
    <w:rsid w:val="006A02AF"/>
    <w:rsid w:val="006A2EE7"/>
    <w:rsid w:val="006A4726"/>
    <w:rsid w:val="006B1EB3"/>
    <w:rsid w:val="006B3393"/>
    <w:rsid w:val="006C1F8A"/>
    <w:rsid w:val="006C52EE"/>
    <w:rsid w:val="006D6428"/>
    <w:rsid w:val="006E6D74"/>
    <w:rsid w:val="006F3C66"/>
    <w:rsid w:val="006F4C06"/>
    <w:rsid w:val="00700655"/>
    <w:rsid w:val="007346B1"/>
    <w:rsid w:val="00745EB7"/>
    <w:rsid w:val="00780987"/>
    <w:rsid w:val="0078792A"/>
    <w:rsid w:val="00792635"/>
    <w:rsid w:val="007A0257"/>
    <w:rsid w:val="007A6E48"/>
    <w:rsid w:val="007C1C1B"/>
    <w:rsid w:val="00800D38"/>
    <w:rsid w:val="00831ED9"/>
    <w:rsid w:val="00843FA3"/>
    <w:rsid w:val="00845F81"/>
    <w:rsid w:val="00851EF1"/>
    <w:rsid w:val="00862DAA"/>
    <w:rsid w:val="00864EC6"/>
    <w:rsid w:val="00867042"/>
    <w:rsid w:val="0087093A"/>
    <w:rsid w:val="008754F4"/>
    <w:rsid w:val="0087575B"/>
    <w:rsid w:val="00896AC0"/>
    <w:rsid w:val="008A0E01"/>
    <w:rsid w:val="008A378E"/>
    <w:rsid w:val="008A7979"/>
    <w:rsid w:val="008B75AA"/>
    <w:rsid w:val="008D221D"/>
    <w:rsid w:val="008D6FB8"/>
    <w:rsid w:val="008E0D97"/>
    <w:rsid w:val="008E56D2"/>
    <w:rsid w:val="00910BAD"/>
    <w:rsid w:val="00921033"/>
    <w:rsid w:val="009356B1"/>
    <w:rsid w:val="00954D3C"/>
    <w:rsid w:val="00983DCA"/>
    <w:rsid w:val="009957AD"/>
    <w:rsid w:val="00997A29"/>
    <w:rsid w:val="009B658D"/>
    <w:rsid w:val="009F0D06"/>
    <w:rsid w:val="00A15853"/>
    <w:rsid w:val="00A24613"/>
    <w:rsid w:val="00A35E9A"/>
    <w:rsid w:val="00A53C47"/>
    <w:rsid w:val="00A64036"/>
    <w:rsid w:val="00A90ADA"/>
    <w:rsid w:val="00AA1118"/>
    <w:rsid w:val="00AA7808"/>
    <w:rsid w:val="00AF372C"/>
    <w:rsid w:val="00AF796A"/>
    <w:rsid w:val="00B51363"/>
    <w:rsid w:val="00B60A3E"/>
    <w:rsid w:val="00B8178A"/>
    <w:rsid w:val="00B870DF"/>
    <w:rsid w:val="00B91660"/>
    <w:rsid w:val="00B949F0"/>
    <w:rsid w:val="00B96C8B"/>
    <w:rsid w:val="00BA68C4"/>
    <w:rsid w:val="00BA7882"/>
    <w:rsid w:val="00BB07BC"/>
    <w:rsid w:val="00BB14DD"/>
    <w:rsid w:val="00BC372C"/>
    <w:rsid w:val="00BE2734"/>
    <w:rsid w:val="00BE4DDF"/>
    <w:rsid w:val="00BF703C"/>
    <w:rsid w:val="00C123C8"/>
    <w:rsid w:val="00C12499"/>
    <w:rsid w:val="00C157D4"/>
    <w:rsid w:val="00C53D8A"/>
    <w:rsid w:val="00C558B2"/>
    <w:rsid w:val="00C63CC4"/>
    <w:rsid w:val="00C7747A"/>
    <w:rsid w:val="00C86E83"/>
    <w:rsid w:val="00C91CD5"/>
    <w:rsid w:val="00C969B7"/>
    <w:rsid w:val="00CC29E2"/>
    <w:rsid w:val="00CE52C2"/>
    <w:rsid w:val="00D1427B"/>
    <w:rsid w:val="00D34DE3"/>
    <w:rsid w:val="00D42395"/>
    <w:rsid w:val="00D66B0B"/>
    <w:rsid w:val="00D74CA8"/>
    <w:rsid w:val="00D753F3"/>
    <w:rsid w:val="00D80483"/>
    <w:rsid w:val="00DC6620"/>
    <w:rsid w:val="00DF052E"/>
    <w:rsid w:val="00E20E11"/>
    <w:rsid w:val="00E27208"/>
    <w:rsid w:val="00E77D53"/>
    <w:rsid w:val="00E9171A"/>
    <w:rsid w:val="00EA24C7"/>
    <w:rsid w:val="00EB5831"/>
    <w:rsid w:val="00EC7431"/>
    <w:rsid w:val="00EF13B7"/>
    <w:rsid w:val="00F01444"/>
    <w:rsid w:val="00F01799"/>
    <w:rsid w:val="00F036B3"/>
    <w:rsid w:val="00F05A20"/>
    <w:rsid w:val="00F578DC"/>
    <w:rsid w:val="00F6127F"/>
    <w:rsid w:val="00F7754C"/>
    <w:rsid w:val="00F8627F"/>
    <w:rsid w:val="00FA2034"/>
    <w:rsid w:val="00FA5B2E"/>
    <w:rsid w:val="00FB68DB"/>
    <w:rsid w:val="00FB78A0"/>
    <w:rsid w:val="00FF60D7"/>
    <w:rsid w:val="01F0256C"/>
    <w:rsid w:val="429271F4"/>
    <w:rsid w:val="475358DB"/>
    <w:rsid w:val="4C1E55A8"/>
    <w:rsid w:val="5AD012C4"/>
    <w:rsid w:val="66087316"/>
    <w:rsid w:val="72D4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4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4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40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4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300</Words>
  <Characters>1715</Characters>
  <Application>Microsoft Office Word</Application>
  <DocSecurity>0</DocSecurity>
  <Lines>14</Lines>
  <Paragraphs>4</Paragraphs>
  <ScaleCrop>false</ScaleCrop>
  <Company>china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辛妙玲</dc:creator>
  <cp:lastModifiedBy>User</cp:lastModifiedBy>
  <cp:revision>15</cp:revision>
  <cp:lastPrinted>2017-08-29T07:33:00Z</cp:lastPrinted>
  <dcterms:created xsi:type="dcterms:W3CDTF">2016-08-20T03:26:00Z</dcterms:created>
  <dcterms:modified xsi:type="dcterms:W3CDTF">2018-08-15T07:56:00Z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